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ROSCI0213ZPB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Râul Prut</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4.130,54</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39,03%</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 RO22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 Sud-Est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 Vaslui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 Continentală 76,73%</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23,27%</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4.130,54</w:t>
      </w:r>
    </w:p>
    <w:p w:rsidR="00000000" w:rsidDel="00000000" w:rsidP="00000000" w:rsidRDefault="00000000" w:rsidRPr="00000000" w14:paraId="00000062">
      <w:pPr>
        <w:spacing w:after="0" w:line="240" w:lineRule="auto"/>
        <w:rPr>
          <w:sz w:val="22"/>
          <w:szCs w:val="22"/>
        </w:rPr>
      </w:pPr>
      <w:r w:rsidDel="00000000" w:rsidR="00000000" w:rsidRPr="00000000">
        <w:rPr>
          <w:rtl w:val="0"/>
        </w:rPr>
      </w:r>
    </w:p>
    <w:p w:rsidR="00000000" w:rsidDel="00000000" w:rsidP="00000000" w:rsidRDefault="00000000" w:rsidRPr="00000000" w14:paraId="00000063">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spacing w:after="0" w:line="240"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Consiliului Județean Iași nr. 8/1994: Cotul Bran pe Râul Prut, Cotul Sălăgeni, Râul Prut;</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RONPA0571 Cotul Bran pe Râul Prut, RONPA0572 Cotul Sălăgeni, RONPA0573 Râul Prut; </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jc w:val="both"/>
              <w:rPr>
                <w:sz w:val="22"/>
                <w:szCs w:val="22"/>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r w:rsidDel="00000000" w:rsidR="00000000" w:rsidRPr="00000000">
              <w:rPr>
                <w:rtl w:val="0"/>
              </w:rPr>
            </w:r>
          </w:p>
          <w:p w:rsidR="00000000" w:rsidDel="00000000" w:rsidP="00000000" w:rsidRDefault="00000000" w:rsidRPr="00000000" w14:paraId="0000006F">
            <w:pPr>
              <w:spacing w:after="0" w:line="30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92A0 Păduri-galerii (zăvoaie) de Salix alba şi Populus alba</w:t>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72">
            <w:pPr>
              <w:spacing w:after="0" w:line="300" w:lineRule="auto"/>
              <w:rPr>
                <w:sz w:val="22"/>
                <w:szCs w:val="22"/>
              </w:rPr>
            </w:pPr>
            <w:r w:rsidDel="00000000" w:rsidR="00000000" w:rsidRPr="00000000">
              <w:rPr>
                <w:i w:val="1"/>
                <w:iCs w:val="1"/>
                <w:sz w:val="22"/>
                <w:szCs w:val="22"/>
                <w:rtl w:val="0"/>
              </w:rPr>
              <w:t xml:space="preserve">3150 Lacuri naturale eutrofice cu vegetație tip Magnopotamion sau Hydrocharition</w:t>
            </w:r>
            <w:r w:rsidDel="00000000" w:rsidR="00000000" w:rsidRPr="00000000">
              <w:rPr>
                <w:rtl w:val="0"/>
              </w:rPr>
            </w:r>
          </w:p>
          <w:p w:rsidR="00000000" w:rsidDel="00000000" w:rsidP="00000000" w:rsidRDefault="00000000" w:rsidRPr="00000000" w14:paraId="00000073">
            <w:pPr>
              <w:spacing w:after="0" w:line="300" w:lineRule="auto"/>
              <w:rPr>
                <w:sz w:val="22"/>
                <w:szCs w:val="22"/>
              </w:rPr>
            </w:pPr>
            <w:r w:rsidDel="00000000" w:rsidR="00000000" w:rsidRPr="00000000">
              <w:rPr>
                <w:i w:val="1"/>
                <w:iCs w:val="1"/>
                <w:sz w:val="22"/>
                <w:szCs w:val="22"/>
                <w:rtl w:val="0"/>
              </w:rPr>
              <w:t xml:space="preserve">3160 Lacuri distrofice și iazuri</w:t>
            </w:r>
            <w:r w:rsidDel="00000000" w:rsidR="00000000" w:rsidRPr="00000000">
              <w:rPr>
                <w:rtl w:val="0"/>
              </w:rPr>
            </w:r>
          </w:p>
          <w:p w:rsidR="00000000" w:rsidDel="00000000" w:rsidP="00000000" w:rsidRDefault="00000000" w:rsidRPr="00000000" w14:paraId="00000074">
            <w:pPr>
              <w:spacing w:after="0" w:line="300" w:lineRule="auto"/>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5">
            <w:pPr>
              <w:spacing w:after="0" w:line="300" w:lineRule="auto"/>
              <w:rPr>
                <w:sz w:val="22"/>
                <w:szCs w:val="22"/>
              </w:rPr>
            </w:pPr>
            <w:r w:rsidDel="00000000" w:rsidR="00000000" w:rsidRPr="00000000">
              <w:rPr>
                <w:i w:val="1"/>
                <w:iCs w:val="1"/>
                <w:sz w:val="22"/>
                <w:szCs w:val="22"/>
                <w:rtl w:val="0"/>
              </w:rPr>
              <w:t xml:space="preserve">3270 Râuri cu maluri nămoloase cu vegetație din Chenopodion rubri și Bidention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1188 Bombina bombina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1130 Aspius aspius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6963 Cobitis taenia Complex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1157 Gymnocephalus schraetzer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1145 Misgurnus fossilis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2522 Pelecus cultratus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5339 Rhodeus amarus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6143 Romanogobio kesslerii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5329 Romanogobio vladykovi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1160 Zingel streber</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1159 Zingel zingel</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Insecte: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4027 Arytrura musculus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1428 Marsilea quadrifolia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A052 Anas crecca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A027 Egretta alba</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A094 Pandion haliaetus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jc w:val="both"/>
              <w:rPr>
                <w:sz w:val="22"/>
                <w:szCs w:val="22"/>
              </w:rPr>
            </w:pPr>
            <w:r w:rsidDel="00000000" w:rsidR="00000000" w:rsidRPr="00000000">
              <w:rPr>
                <w:sz w:val="22"/>
                <w:szCs w:val="22"/>
                <w:rtl w:val="0"/>
              </w:rPr>
              <w:t xml:space="preserve">Valoarea ecologică a acestui ZPB de pe râul Prut constă în diversitatea habitatelor ripariene și acvatice, care formează un coridor biologic esențial. Coexistența pădurilor mixte de luncă și a zăvoaielor cu ecosistemele de ape stătătoare și curgătoare  asigură nișe complexe de hrănire și reproducere pentru o faună diversă. Situl are o importanță excepțională pentru ihtiofauna de interes comunitar, adăpostind populații de pești, specii sensibile la calitatea apei. Totodată, zona susține mamifere semi-acvatice, reptile protejate și specii rare de insecte. Prezența plantei </w:t>
            </w:r>
            <w:r w:rsidDel="00000000" w:rsidR="00000000" w:rsidRPr="00000000">
              <w:rPr>
                <w:i w:val="1"/>
                <w:iCs w:val="1"/>
                <w:sz w:val="22"/>
                <w:szCs w:val="22"/>
                <w:rtl w:val="0"/>
              </w:rPr>
              <w:t xml:space="preserve">Marsilea quadrifolia</w:t>
            </w:r>
            <w:r w:rsidDel="00000000" w:rsidR="00000000" w:rsidRPr="00000000">
              <w:rPr>
                <w:sz w:val="22"/>
                <w:szCs w:val="22"/>
                <w:rtl w:val="0"/>
              </w:rPr>
              <w:t xml:space="preserve"> subliniază valoarea de conservare a zonelor umede temporar inundabile din lungul Prutului.</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Habitatele din ZPB găzduiesc,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L08 Inundatii (procese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9">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5">
            <w:pPr>
              <w:spacing w:line="278.0000000000000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C6">
            <w:pPr>
              <w:spacing w:line="278.0000000000000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7">
            <w:pPr>
              <w:spacing w:line="278.0000000000000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8">
            <w:pPr>
              <w:spacing w:line="278.0000000000000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9">
            <w:pPr>
              <w:spacing w:line="278.0000000000000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CA">
            <w:pPr>
              <w:spacing w:line="278.0000000000000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CB">
            <w:pPr>
              <w:spacing w:line="278.0000000000000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CC">
            <w:pPr>
              <w:spacing w:line="278.0000000000000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CD">
            <w:pPr>
              <w:spacing w:line="278.0000000000000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CE">
            <w:pPr>
              <w:spacing w:line="278.0000000000000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CF">
            <w:pPr>
              <w:spacing w:line="278.0000000000000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0">
            <w:pPr>
              <w:spacing w:line="278.0000000000000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D1">
            <w:pPr>
              <w:spacing w:line="278.0000000000000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D2">
            <w:pPr>
              <w:spacing w:line="278.0000000000000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D3">
            <w:pPr>
              <w:spacing w:line="278.0000000000000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D4">
            <w:pPr>
              <w:spacing w:line="278.0000000000000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D5">
            <w:pPr>
              <w:spacing w:line="278.0000000000000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6">
            <w:pPr>
              <w:spacing w:line="278.0000000000000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9">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DAVIDEANU Gr. ș.a. Ihtiofauna râului Prut. Societatea ecologică pentru Protecția și Studierea Florei și Faunei Sălbatice ”Aquaterra”, Societatea Bioremedierii Ecosistemelor Acvatice și Umede ”Euribiont”. Iași, 2008, 80 p.</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Ursu, A., Istrate, V., Ungureanu, O. A., &amp; Acuculiței, A. (2015). The forest area changes in the Prut River watershed (Romania). 15th International Multidisciplinary Scientific GeoConference SGEM 2015, 2(2), 1131-1138</w:t>
      </w:r>
    </w:p>
    <w:p w:rsidR="00000000" w:rsidDel="00000000" w:rsidP="00000000" w:rsidRDefault="00000000" w:rsidRPr="00000000" w14:paraId="000000DC">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D">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24 februarie 2025 – Vaslui, jud. Vaslui și 24 martie 2025 – Iași, jud. Iași. Ulterior, în cadrul procesului de consultare extins la nivel național, au avut loc consultări suplimentare online, în data de 17 decembrie 2025 cu participarea factorilor interesați relevanți din județul Iași și în data de 2 februarie 2026 cu participarea factorilor interesați relevanți din județul Vaslui.</w:t>
      </w:r>
    </w:p>
    <w:p w:rsidR="00000000" w:rsidDel="00000000" w:rsidP="00000000" w:rsidRDefault="00000000" w:rsidRPr="00000000" w14:paraId="000000DF">
      <w:pPr>
        <w:jc w:val="center"/>
        <w:rPr>
          <w:b w:val="1"/>
          <w:bCs w:val="1"/>
          <w:sz w:val="22"/>
          <w:szCs w:val="22"/>
        </w:rPr>
      </w:pPr>
      <w:r w:rsidDel="00000000" w:rsidR="00000000" w:rsidRPr="00000000">
        <w:rPr>
          <w:rtl w:val="0"/>
        </w:rPr>
      </w:r>
    </w:p>
    <w:p w:rsidR="00000000" w:rsidDel="00000000" w:rsidP="00000000" w:rsidRDefault="00000000" w:rsidRPr="00000000" w14:paraId="000000E0">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2">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3">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SODZFe+P0iJ2fzBDeNtY6pw6xA==">CgMxLjA4AHIhMTBtNG9lQ19LYnNpWjNhT2pMMlBWd081NDhuRTNDdHZs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